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Bruce Fisher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Department of Economics and Finance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Center for Economic and Policy Studies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Buffalo State College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Buffalo 2007-2017 links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CGR 1999: fiscal balance by NY region/flows of funds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http://reports.cgr.org/details/1272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CGR 2004: county-by-county flows of funds 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http://reports.cgr.org/details/1400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Fisher 2010 presentation to NYEA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Rockefeller Institute reprise of the CGR study: </w:t>
      </w:r>
    </w:p>
    <w:p w:rsidR="00000000" w:rsidDel="00000000" w:rsidP="00000000" w:rsidRDefault="00000000" w:rsidRPr="00000000">
      <w:pPr>
        <w:contextualSpacing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http://www.rockinst.org/pdf/nys_government/2011-12-Giving_and_Getting.pdf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Abandonment and housing oversupply: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One Region Forward collation of Census and Post Office data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http://www.oneregionforward.org/datastory/what-our-current-path-means-for-homes-and-neighborhoods/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Fisher on building permits 1980-2011: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http://www.dailypublic.com/articles/11112014/outer-harbor-condominiums-public-shaming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Schillinger 2007 report:</w:t>
      </w:r>
    </w:p>
    <w:p w:rsidR="00000000" w:rsidDel="00000000" w:rsidP="00000000" w:rsidRDefault="00000000" w:rsidRPr="00000000">
      <w:pPr>
        <w:contextualSpacing w:val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http://uploads.oneregionforward.org/content/uploads/2013/03/FINAL-BluepirntBuffalo-Action-Plan.pdf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Fisher and Mix identifying 1,500 acres of Buffalo parcels assessed under $10,000:</w:t>
      </w:r>
    </w:p>
    <w:p w:rsidR="00000000" w:rsidDel="00000000" w:rsidP="00000000" w:rsidRDefault="00000000" w:rsidRPr="00000000">
      <w:pPr>
        <w:contextualSpacing w:val="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http://artvoice.com/issues/v8n16/the_green_zone.html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Dawn of the Dead city by Silverman et al</w:t>
      </w:r>
    </w:p>
    <w:p w:rsidR="00000000" w:rsidDel="00000000" w:rsidP="00000000" w:rsidRDefault="00000000" w:rsidRPr="00000000">
      <w:pPr>
        <w:contextualSpacing w:val="0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http://onlinelibrary.wiley.com/doi/10.1111/j.1467-9906.2012.00627.x/abstract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Roots of the issue: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Gerald Grant on Nixon and Rehnquist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http://artvoice.com/issues/v9n1/unfinished_business.html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Our own analysis of outcomes, school by school, in Erie County, correlating 5 factors, finding 0.7 being household income:</w:t>
      </w:r>
    </w:p>
    <w:p w:rsidR="00000000" w:rsidDel="00000000" w:rsidP="00000000" w:rsidRDefault="00000000" w:rsidRPr="00000000">
      <w:pPr>
        <w:contextualSpacing w:val="0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http://artvoice.com/issues/v13n1/news_analysis.html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 new look at Zombie properties:</w:t>
      </w:r>
    </w:p>
    <w:p w:rsidR="00000000" w:rsidDel="00000000" w:rsidP="00000000" w:rsidRDefault="00000000" w:rsidRPr="00000000">
      <w:pPr>
        <w:contextualSpacing w:val="0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http://www.dailypublic.com/articles/03062015/kill-those-zombies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How the paradigm has worked across the Rust Belt:</w:t>
      </w:r>
    </w:p>
    <w:p w:rsidR="00000000" w:rsidDel="00000000" w:rsidP="00000000" w:rsidRDefault="00000000" w:rsidRPr="00000000">
      <w:pPr>
        <w:contextualSpacing w:val="0"/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http://www.dailypublic.com/articles/04282015/fire-rust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artvoice.com/issues/v8n16/the_green_zone.html" TargetMode="External"/><Relationship Id="rId10" Type="http://schemas.openxmlformats.org/officeDocument/2006/relationships/hyperlink" Target="http://uploads.oneregionforward.org/content/uploads/2013/03/FINAL-BluepirntBuffalo-Action-Plan.pdf" TargetMode="External"/><Relationship Id="rId13" Type="http://schemas.openxmlformats.org/officeDocument/2006/relationships/hyperlink" Target="http://artvoice.com/issues/v9n1/unfinished_business.html" TargetMode="External"/><Relationship Id="rId12" Type="http://schemas.openxmlformats.org/officeDocument/2006/relationships/hyperlink" Target="http://onlinelibrary.wiley.com/doi/10.1111/j.1467-9906.2012.00627.x/abstract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www.dailypublic.com/articles/11112014/outer-harbor-condominiums-public-shaming" TargetMode="External"/><Relationship Id="rId15" Type="http://schemas.openxmlformats.org/officeDocument/2006/relationships/hyperlink" Target="http://www.dailypublic.com/articles/03062015/kill-those-zombies" TargetMode="External"/><Relationship Id="rId14" Type="http://schemas.openxmlformats.org/officeDocument/2006/relationships/hyperlink" Target="http://artvoice.com/issues/v13n1/news_analysis.html" TargetMode="External"/><Relationship Id="rId16" Type="http://schemas.openxmlformats.org/officeDocument/2006/relationships/hyperlink" Target="http://www.dailypublic.com/articles/04282015/fire-rust" TargetMode="External"/><Relationship Id="rId5" Type="http://schemas.openxmlformats.org/officeDocument/2006/relationships/hyperlink" Target="http://reports.cgr.org/details/1272" TargetMode="External"/><Relationship Id="rId6" Type="http://schemas.openxmlformats.org/officeDocument/2006/relationships/hyperlink" Target="http://reports.cgr.org/details/1400" TargetMode="External"/><Relationship Id="rId7" Type="http://schemas.openxmlformats.org/officeDocument/2006/relationships/hyperlink" Target="http://www.rockinst.org/pdf/nys_government/2011-12-Giving_and_Getting.pdf" TargetMode="External"/><Relationship Id="rId8" Type="http://schemas.openxmlformats.org/officeDocument/2006/relationships/hyperlink" Target="http://www.oneregionforward.org/datastory/what-our-current-path-means-for-homes-and-neighborhoods/" TargetMode="External"/></Relationships>
</file>